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7" w:type="dxa"/>
        <w:jc w:val="center"/>
        <w:tblInd w:w="0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026"/>
        <w:gridCol w:w="844"/>
        <w:gridCol w:w="910"/>
        <w:gridCol w:w="911"/>
        <w:gridCol w:w="63"/>
        <w:gridCol w:w="673"/>
        <w:gridCol w:w="1204"/>
        <w:gridCol w:w="356"/>
        <w:gridCol w:w="1275"/>
        <w:gridCol w:w="246"/>
        <w:gridCol w:w="1172"/>
        <w:gridCol w:w="561"/>
        <w:gridCol w:w="145"/>
        <w:gridCol w:w="569"/>
        <w:gridCol w:w="1310"/>
      </w:tblGrid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74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Język angielski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III, IV,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B nauki behawioralne i społeczne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5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1026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844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1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647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0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1026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44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647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0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1026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44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647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0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78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485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Znajomość języka angielskiego na poziomie szkoły średniej.</w:t>
            </w:r>
          </w:p>
        </w:tc>
      </w:tr>
      <w:tr>
        <w:trPr>
          <w:trHeight w:val="277" w:hRule="atLeast"/>
        </w:trPr>
        <w:tc>
          <w:tcPr>
            <w:tcW w:w="278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48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Zapoznanie studenta z językiem angielskim specjalistycznym w obszarze nauk  o zdrowiu oraz pogłębienie wiedzy z zakresu komunikacji zawodowej w kontekście ratownictwa medycznego, w tym interakcji z pacjentem, jego rodziną i personelem medycznym.</w:t>
            </w:r>
          </w:p>
          <w:p>
            <w:pPr>
              <w:pStyle w:val="NormalWeb"/>
              <w:spacing w:beforeAutospacing="0" w:before="0" w:afterAutospacing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Zajęcia ukierunkowane są na kształtowanie umiejętności swobodnego posługiwania się językiem angielskim w mowie, przygotowanie do samodzielnego korzystania z literatury fachowej oraz wykorzystanie zdobytej wiedzy w realizacji zadań zawodowych wymagających skutecznej komunikacji.</w:t>
            </w:r>
          </w:p>
        </w:tc>
      </w:tr>
      <w:tr>
        <w:trPr>
          <w:trHeight w:val="277" w:hRule="atLeast"/>
        </w:trPr>
        <w:tc>
          <w:tcPr>
            <w:tcW w:w="278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48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konwersacja, praca w grupach, dyskusja dydaktyczna, rozwiązywanie zadania.</w:t>
            </w:r>
          </w:p>
        </w:tc>
      </w:tr>
      <w:tr>
        <w:trPr>
          <w:trHeight w:val="277" w:hRule="atLeast"/>
        </w:trPr>
        <w:tc>
          <w:tcPr>
            <w:tcW w:w="2780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48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 językowej, plansze dydaktyczne, słowniki językowe.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02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78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Absolwent zna i rozumie:</w:t>
            </w:r>
          </w:p>
        </w:tc>
        <w:tc>
          <w:tcPr>
            <w:tcW w:w="646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B.W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7 znaczenie komunikacji werbalnej i niewerbalnej w procesie komunikowania się z pacjentami oraz pojęcie zaufania w interakcji z pacjentem;</w:t>
            </w:r>
          </w:p>
        </w:tc>
        <w:tc>
          <w:tcPr>
            <w:tcW w:w="2024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pl-PL"/>
              </w:rPr>
              <w:t>odpowiedź ustna, praca pisemna, projekt, test</w:t>
            </w:r>
          </w:p>
        </w:tc>
      </w:tr>
      <w:tr>
        <w:trPr>
          <w:trHeight w:val="277" w:hRule="atLeast"/>
        </w:trPr>
        <w:tc>
          <w:tcPr>
            <w:tcW w:w="278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646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B.W19 zasady komunikacji w sytuacjach typowych dla wykonywania zawodu ratownika medycznego;</w:t>
            </w:r>
          </w:p>
        </w:tc>
        <w:tc>
          <w:tcPr>
            <w:tcW w:w="2024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80" w:type="dxa"/>
            <w:gridSpan w:val="3"/>
            <w:vMerge w:val="restart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46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B.U4. udzielać informacji o podstawowych zabiegach i czynnościach dotyczących pacjenta oraz informacji na temat jego stanu zdrowia</w:t>
            </w:r>
          </w:p>
        </w:tc>
        <w:tc>
          <w:tcPr>
            <w:tcW w:w="2024" w:type="dxa"/>
            <w:gridSpan w:val="3"/>
            <w:vMerge w:val="restart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pl-PL"/>
              </w:rPr>
              <w:t>egzamin ustny, odpowiedź ustna, praca pisemna, projekt, test</w:t>
            </w:r>
          </w:p>
        </w:tc>
      </w:tr>
      <w:tr>
        <w:trPr>
          <w:trHeight w:val="520" w:hRule="atLeast"/>
        </w:trPr>
        <w:tc>
          <w:tcPr>
            <w:tcW w:w="278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46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B.U16. porozumiewać się z pacjentem w jednym z języków obcych na poziomie B2 Europejskiego Systemu Opisu Kształcenia Językowego</w:t>
            </w:r>
          </w:p>
        </w:tc>
        <w:tc>
          <w:tcPr>
            <w:tcW w:w="2024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278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46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K1. 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aktywnego słuchania, nawiązywania kontaktów interpersonalnych, skutecznego i empatycznego porozumiewania się z pacjentem</w:t>
            </w:r>
          </w:p>
        </w:tc>
        <w:tc>
          <w:tcPr>
            <w:tcW w:w="2024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ocena bieżąca formułująca i podsumowująca; samoocena;</w:t>
            </w:r>
          </w:p>
        </w:tc>
      </w:tr>
      <w:tr>
        <w:trPr>
          <w:trHeight w:val="516" w:hRule="atLeast"/>
        </w:trPr>
        <w:tc>
          <w:tcPr>
            <w:tcW w:w="278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6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K2. dostrzegania czynników wpływających na reakcje własne i pacjenta;</w:t>
            </w:r>
          </w:p>
        </w:tc>
        <w:tc>
          <w:tcPr>
            <w:tcW w:w="2024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80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48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Testy MQ; test praktyczny otwarty i MQ (sprawdzenie wszystkich funkcji językowych w częściach ustnej i pisemnej oraz rozumienie ze słuchu: MQ – 20 pytań; czytanie ze zrozumieniem – odp. na 5 pytań do tekstu medycznego ok. 1000 znaków; słuchanie – 4x M/C; wypowiedź (2 min.)na jedno z 10 wybranych przez studenta zagadnień medycznych.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02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Stres we współczesnym świecie. Wyrażenia określające ilość.</w:t>
            </w:r>
          </w:p>
        </w:tc>
        <w:tc>
          <w:tcPr>
            <w:tcW w:w="2024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Ekologiczny styl życia. Wyrażanie opinii.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Obyczajowość. Różnice między kobietami a mężczyznami.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Przedimki. Praca. Formy imiesłowowe i bezokolicznikowe.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Pisanie listu motywacyjnego i życiorysu.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Zasady zdrowego żywienia. Witaminy i minerały.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Układ pokarmowy człowieka. Cukrzyca – przyczyny, objawy, dieta. Zaburzenia w przyswajaniu pokarmu.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Krew – morfologia. Grupy krwi.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Budowa i działanie serca. Agonia i śmierć.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Ciało człowieka po śmierci. Akt zgonu. Hospicjum dla dzieci. Czytanie tekstu (Reading bank): Zwyczaje dotyczące śmierci i umierania.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Hospicjum dla dzieci. Czytanie tekstu (Reading bank): Zwyczaje dotyczące śmierci i umierania.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Higiena: sprzęt i środki czystości. Infekcje wynikające z nieprzestrzegania zasad higieny.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Bohaterowie naszych czasów. Zdania podrzędnie złożone.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Pisanie recenzji filmu. Przekazywanie i reagowanie na wiadomość.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Przesądy. III tryb warunkowy. Tworzenie przysłówków i przymiotników.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Tajemnicze morderstwa w historii. Rzeczowniki złożone. Pytania obcięte.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Telewizja. Czasowniki złożone. Pisanie rozprawki: za i przeciw</w:t>
            </w:r>
          </w:p>
        </w:tc>
        <w:tc>
          <w:tcPr>
            <w:tcW w:w="20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Opieka nad psychicznie chorymi. Objawy chorób psychicznych.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Schizofrenia – objawy, leczenie. Praca pielęgniarki w szpitalu psychiatrycznym.</w:t>
            </w:r>
          </w:p>
        </w:tc>
        <w:tc>
          <w:tcPr>
            <w:tcW w:w="20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Monitorowanie funkcji życiowych pacjenta. Hipotermia i śpiączka. Rodzaje i formy leków.</w:t>
            </w:r>
          </w:p>
        </w:tc>
        <w:tc>
          <w:tcPr>
            <w:tcW w:w="20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Metody podawania leków, dawki. Choroby zakaźne. Pandemie.</w:t>
            </w:r>
          </w:p>
        </w:tc>
        <w:tc>
          <w:tcPr>
            <w:tcW w:w="20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Ciąża i poród. Porady dla kobiet ciężarnych.</w:t>
            </w:r>
          </w:p>
        </w:tc>
        <w:tc>
          <w:tcPr>
            <w:tcW w:w="20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Ogólne zasady znieczulenia w czasie operacji. Czytanie tekstu (Reading bank): Anestezjologia.</w:t>
            </w:r>
          </w:p>
        </w:tc>
        <w:tc>
          <w:tcPr>
            <w:tcW w:w="20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9241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Medycyna niekonwencjonalna – rodzaje terapii.</w:t>
            </w:r>
          </w:p>
        </w:tc>
        <w:tc>
          <w:tcPr>
            <w:tcW w:w="20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2,5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 egzamin po IV semestrze,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 (wszystkie sprawności językowe), kolokwium,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zalicz. umiejętności poprzez uzyskanie ≥60% wymaganej punktacji za realizację zadania problemowego.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87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8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87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87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88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/>
            </w:pPr>
            <w:r>
              <w:rPr>
                <w:rFonts w:eastAsia="NSimSun" w:cs="Arial" w:ascii="Liberation Serif" w:hAnsi="Liberation Serif"/>
                <w:kern w:val="2"/>
                <w:sz w:val="20"/>
                <w:szCs w:val="20"/>
                <w:lang w:val="en-US" w:eastAsia="zh-CN" w:bidi="hi-IN"/>
              </w:rPr>
              <w:t>Oxenden Clive, Latham-Koenig Christina. New English File Intermediate. Oxford: OUP, 2009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3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Grice T. , Nursing 1, Oxford University Press, 2007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3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Grice T., Greenan J., Nursing 2, Oxford University Press, 2008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3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Ciecierska J., Jenike B., Pudruj K., English for Medicine. Warszawa: Wydawnictwo Lekarskie PZWL, 2020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3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Glendinning Eric H., Holmstrom Beverly A.S., English in Medicine. Cambridge: Cambridge University Press, 1998.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3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Grice Tony, Nursing. Oxford University Press, 2007.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3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James D.V., Medicine. Hemel Hempstead: Prentice Hall, 1998.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3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Lipscombe S., Encyclopedia of Family Health and First Aid. Bath: Parragon, 2003.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3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Misztal M., Tests in English Thematic Vocabulary. Warszawa: WSiP, 1996.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annotation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Hyperlink">
    <w:name w:val="Hyperlink"/>
    <w:uiPriority w:val="99"/>
    <w:semiHidden/>
    <w:unhideWhenUsed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ed">
    <w:name w:val="Body Text, Indented"/>
    <w:basedOn w:val="Normal"/>
    <w:link w:val="TekstpodstawowywcityZnak"/>
    <w:qFormat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Annotation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" w:customStyle="1">
    <w:name w:val="Zawartość tabeli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" w:customStyle="1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Application>LibreOffice/24.2.5.2$Windows_X86_64 LibreOffice_project/bffef4ea93e59bebbeaf7f431bb02b1a39ee8a59</Application>
  <AppVersion>15.0000</AppVersion>
  <DocSecurity>0</DocSecurity>
  <Pages>3</Pages>
  <Words>1125</Words>
  <Characters>7628</Characters>
  <CharactersWithSpaces>8589</CharactersWithSpaces>
  <Paragraphs>186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2026-04-17T16:19:33Z</dcterms:modified>
  <cp:revision>110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